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B13166" w:rsidP="00BC3E5C">
      <w:pPr>
        <w:spacing w:after="0"/>
        <w:rPr>
          <w:b/>
        </w:rPr>
      </w:pPr>
      <w:r>
        <w:rPr>
          <w:b/>
        </w:rPr>
        <w:t>9</w:t>
      </w:r>
      <w:r w:rsidR="00303B22">
        <w:rPr>
          <w:b/>
        </w:rPr>
        <w:t>.2</w:t>
      </w:r>
      <w:r>
        <w:rPr>
          <w:b/>
        </w:rPr>
        <w:t>2</w:t>
      </w:r>
      <w:r w:rsidR="00FD7F73" w:rsidRPr="00580679">
        <w:rPr>
          <w:b/>
        </w:rPr>
        <w:t>.2015</w:t>
      </w:r>
    </w:p>
    <w:p w:rsidR="00210444" w:rsidRPr="001F77AC" w:rsidRDefault="00210444" w:rsidP="00BC3E5C">
      <w:pPr>
        <w:spacing w:after="0"/>
        <w:rPr>
          <w:b/>
        </w:rPr>
      </w:pPr>
      <w:r w:rsidRPr="001F77AC">
        <w:rPr>
          <w:b/>
        </w:rPr>
        <w:t>Amee Adkins, Illinois State University</w:t>
      </w:r>
    </w:p>
    <w:p w:rsidR="00CD441B" w:rsidRPr="00760131" w:rsidRDefault="00CD441B" w:rsidP="00BC3E5C">
      <w:pPr>
        <w:spacing w:after="0"/>
        <w:rPr>
          <w:b/>
        </w:rPr>
      </w:pPr>
      <w:r w:rsidRPr="00760131">
        <w:rPr>
          <w:b/>
        </w:rPr>
        <w:t>Andrea Whittaker, SCALE</w:t>
      </w:r>
    </w:p>
    <w:p w:rsidR="00210444" w:rsidRDefault="00210444" w:rsidP="00BC3E5C">
      <w:pPr>
        <w:spacing w:after="0"/>
        <w:rPr>
          <w:b/>
        </w:rPr>
      </w:pPr>
      <w:r w:rsidRPr="001F77AC">
        <w:rPr>
          <w:b/>
        </w:rPr>
        <w:t>Tracy Spesia, St. Francis</w:t>
      </w:r>
    </w:p>
    <w:p w:rsidR="001F77AC" w:rsidRPr="001F77AC" w:rsidRDefault="001F77AC" w:rsidP="00BC3E5C">
      <w:pPr>
        <w:spacing w:after="0"/>
        <w:rPr>
          <w:b/>
        </w:rPr>
      </w:pPr>
      <w:r>
        <w:rPr>
          <w:b/>
        </w:rPr>
        <w:t>Jason Helfer, ISBE</w:t>
      </w:r>
    </w:p>
    <w:p w:rsidR="00303B22" w:rsidRPr="001F77AC" w:rsidRDefault="00303B22" w:rsidP="00BC3E5C">
      <w:pPr>
        <w:spacing w:after="0"/>
        <w:rPr>
          <w:b/>
        </w:rPr>
      </w:pPr>
      <w:r w:rsidRPr="001F77AC">
        <w:rPr>
          <w:b/>
        </w:rPr>
        <w:t xml:space="preserve">Judy </w:t>
      </w:r>
      <w:proofErr w:type="spellStart"/>
      <w:r w:rsidRPr="001F77AC">
        <w:rPr>
          <w:b/>
        </w:rPr>
        <w:t>Boisen</w:t>
      </w:r>
      <w:proofErr w:type="spellEnd"/>
      <w:r w:rsidRPr="001F77AC">
        <w:rPr>
          <w:b/>
        </w:rPr>
        <w:t>, Northern Illinois University</w:t>
      </w:r>
    </w:p>
    <w:p w:rsidR="00303B22" w:rsidRPr="001F77AC" w:rsidRDefault="00303B22" w:rsidP="00BC3E5C">
      <w:pPr>
        <w:spacing w:after="0"/>
        <w:rPr>
          <w:b/>
        </w:rPr>
      </w:pPr>
      <w:r w:rsidRPr="001F77AC">
        <w:rPr>
          <w:b/>
        </w:rPr>
        <w:t>Jerry Bush, Evaluation Systems</w:t>
      </w:r>
    </w:p>
    <w:p w:rsidR="00303B22" w:rsidRPr="00AE4618" w:rsidRDefault="00303B22" w:rsidP="00BC3E5C">
      <w:pPr>
        <w:spacing w:after="0"/>
        <w:rPr>
          <w:b/>
        </w:rPr>
      </w:pPr>
      <w:r w:rsidRPr="00AE4618">
        <w:rPr>
          <w:b/>
        </w:rPr>
        <w:t xml:space="preserve">Joan </w:t>
      </w:r>
      <w:proofErr w:type="spellStart"/>
      <w:r w:rsidRPr="00AE4618">
        <w:rPr>
          <w:b/>
        </w:rPr>
        <w:t>McQuillan</w:t>
      </w:r>
      <w:proofErr w:type="spellEnd"/>
      <w:r w:rsidRPr="00AE4618">
        <w:rPr>
          <w:b/>
        </w:rPr>
        <w:t>, Illinois College</w:t>
      </w:r>
    </w:p>
    <w:p w:rsidR="001F77AC" w:rsidRPr="001F77AC" w:rsidRDefault="001F77AC" w:rsidP="00BC3E5C">
      <w:pPr>
        <w:spacing w:after="0"/>
        <w:rPr>
          <w:b/>
        </w:rPr>
      </w:pPr>
      <w:r w:rsidRPr="001F77AC">
        <w:rPr>
          <w:b/>
        </w:rPr>
        <w:t>Diep</w:t>
      </w:r>
    </w:p>
    <w:p w:rsidR="00303B22" w:rsidRPr="001F77AC" w:rsidRDefault="00303B22" w:rsidP="00303B22">
      <w:pPr>
        <w:spacing w:after="0"/>
        <w:rPr>
          <w:b/>
        </w:rPr>
      </w:pPr>
      <w:r w:rsidRPr="001F77AC">
        <w:rPr>
          <w:b/>
        </w:rPr>
        <w:t xml:space="preserve">Ava </w:t>
      </w:r>
      <w:proofErr w:type="spellStart"/>
      <w:r w:rsidRPr="001F77AC">
        <w:rPr>
          <w:b/>
        </w:rPr>
        <w:t>Belisle</w:t>
      </w:r>
      <w:proofErr w:type="spellEnd"/>
      <w:r w:rsidRPr="001F77AC">
        <w:rPr>
          <w:b/>
        </w:rPr>
        <w:t xml:space="preserve"> Chatterjee, Columbia</w:t>
      </w:r>
    </w:p>
    <w:p w:rsidR="00303B22" w:rsidRPr="00075AE9" w:rsidRDefault="00303B22" w:rsidP="00BC3E5C">
      <w:pPr>
        <w:spacing w:after="0"/>
      </w:pPr>
    </w:p>
    <w:p w:rsidR="00C55FD5" w:rsidRDefault="00C55FD5" w:rsidP="008D6095">
      <w:pPr>
        <w:rPr>
          <w:b/>
          <w:color w:val="44546A" w:themeColor="dark2"/>
        </w:rPr>
      </w:pPr>
      <w:r w:rsidRPr="00C55FD5">
        <w:rPr>
          <w:b/>
          <w:color w:val="44546A" w:themeColor="dark2"/>
        </w:rPr>
        <w:t xml:space="preserve">IL-TPAC </w:t>
      </w:r>
      <w:r w:rsidR="00B13166">
        <w:rPr>
          <w:b/>
          <w:color w:val="44546A" w:themeColor="dark2"/>
        </w:rPr>
        <w:t>Annual Conference</w:t>
      </w:r>
    </w:p>
    <w:p w:rsidR="00B13166" w:rsidRDefault="00B13166" w:rsidP="00C55FD5">
      <w:pPr>
        <w:ind w:left="720"/>
      </w:pPr>
      <w:r>
        <w:rPr>
          <w:noProof/>
        </w:rPr>
        <w:drawing>
          <wp:inline distT="0" distB="0" distL="0" distR="0">
            <wp:extent cx="1371600" cy="996553"/>
            <wp:effectExtent l="0" t="0" r="0" b="0"/>
            <wp:docPr id="2" name="Picture 2" descr="http://img12.deviantart.net/bb63/i/2012/224/1/8/dancing_elephants_by_duncanclay-d5at0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2.deviantart.net/bb63/i/2012/224/1/8/dancing_elephants_by_duncanclay-d5at0s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460" cy="997178"/>
                    </a:xfrm>
                    <a:prstGeom prst="rect">
                      <a:avLst/>
                    </a:prstGeom>
                    <a:noFill/>
                    <a:ln>
                      <a:noFill/>
                    </a:ln>
                  </pic:spPr>
                </pic:pic>
              </a:graphicData>
            </a:graphic>
          </wp:inline>
        </w:drawing>
      </w:r>
    </w:p>
    <w:p w:rsidR="001F77AC" w:rsidRPr="00C55FD5" w:rsidRDefault="00303B22" w:rsidP="001F77AC">
      <w:pPr>
        <w:ind w:left="720"/>
      </w:pPr>
      <w:r>
        <w:t xml:space="preserve">Implementation Conference </w:t>
      </w:r>
      <w:r w:rsidR="00B13166">
        <w:t xml:space="preserve">materials available here:  </w:t>
      </w:r>
      <w:hyperlink r:id="rId9" w:history="1">
        <w:r w:rsidR="00B13166">
          <w:rPr>
            <w:rStyle w:val="Hyperlink"/>
            <w:rFonts w:ascii="Calibri" w:eastAsia="Times New Roman" w:hAnsi="Calibri"/>
            <w:sz w:val="21"/>
            <w:szCs w:val="21"/>
          </w:rPr>
          <w:t>http://tinyurl.com/ILTPAC2015</w:t>
        </w:r>
      </w:hyperlink>
      <w:r>
        <w:t>.</w:t>
      </w:r>
      <w:r w:rsidR="001F77AC">
        <w:t xml:space="preserve">  </w:t>
      </w:r>
      <w:proofErr w:type="gramStart"/>
      <w:r w:rsidR="001F77AC">
        <w:t>Packed to the point of needing to limit registration.</w:t>
      </w:r>
      <w:proofErr w:type="gramEnd"/>
      <w:r w:rsidR="001F77AC">
        <w:t xml:space="preserve">  </w:t>
      </w:r>
      <w:proofErr w:type="gramStart"/>
      <w:r w:rsidR="001F77AC">
        <w:t>Great breakouts, discussion, networking.</w:t>
      </w:r>
      <w:proofErr w:type="gramEnd"/>
      <w:r w:rsidR="001F77AC">
        <w:t xml:space="preserve">   We’ll start planning 2016 soon.  The statewide collaborative effort is really to be congratulated.</w:t>
      </w:r>
      <w:r w:rsidR="00AE4618">
        <w:t xml:space="preserve">  Regional networks continue to evolve.</w:t>
      </w:r>
    </w:p>
    <w:p w:rsidR="00B13166" w:rsidRDefault="00B13166" w:rsidP="008D6095">
      <w:pPr>
        <w:rPr>
          <w:b/>
          <w:color w:val="44546A" w:themeColor="dark2"/>
        </w:rPr>
      </w:pPr>
      <w:r>
        <w:rPr>
          <w:b/>
          <w:color w:val="44546A" w:themeColor="dark2"/>
        </w:rPr>
        <w:t>One outcome:  lack of consensus for what constitutes and delimits “appropriate support.”</w:t>
      </w:r>
    </w:p>
    <w:p w:rsidR="00075AE9" w:rsidRDefault="00B13166" w:rsidP="00075AE9">
      <w:pPr>
        <w:ind w:left="720"/>
      </w:pPr>
      <w:r>
        <w:t xml:space="preserve">Webinar and website committee will be discussing </w:t>
      </w:r>
      <w:r w:rsidRPr="00694068">
        <w:rPr>
          <w:b/>
        </w:rPr>
        <w:t>plans for a webinar</w:t>
      </w:r>
      <w:r>
        <w:t xml:space="preserve"> to address and adding a forum section to </w:t>
      </w:r>
      <w:hyperlink r:id="rId10" w:history="1">
        <w:r w:rsidRPr="00E248AA">
          <w:rPr>
            <w:rStyle w:val="Hyperlink"/>
          </w:rPr>
          <w:t>www.IL-TPAC.weebly.com</w:t>
        </w:r>
      </w:hyperlink>
      <w:r>
        <w:t xml:space="preserve">.  </w:t>
      </w:r>
      <w:proofErr w:type="gramStart"/>
      <w:r>
        <w:t>Somewhere between “the doc student working on the dissertation” and “the coach stepping out onto the field of play.”</w:t>
      </w:r>
      <w:proofErr w:type="gramEnd"/>
      <w:r w:rsidR="00694068">
        <w:t xml:space="preserve">  SCALE has developed some webinars for NY on this point.  If not</w:t>
      </w:r>
      <w:r w:rsidR="00760131">
        <w:t xml:space="preserve"> in the resource library</w:t>
      </w:r>
      <w:r w:rsidR="00694068">
        <w:t xml:space="preserve">, Andrea will provide links.  Dissertation:  talking extensively about performance expectations for the work; upon first draft, asking probing questions;  “remember faculty are not the only source of support and that sort of goes with the territory” says Ray </w:t>
      </w:r>
      <w:proofErr w:type="spellStart"/>
      <w:r w:rsidR="00694068">
        <w:t>Pechone</w:t>
      </w:r>
      <w:proofErr w:type="spellEnd"/>
      <w:r w:rsidR="00694068">
        <w:t xml:space="preserve">.  4 clearly stated points of unacceptable forms of support in the document. University of Washington, </w:t>
      </w:r>
      <w:proofErr w:type="spellStart"/>
      <w:r w:rsidR="00694068">
        <w:t>Jaon</w:t>
      </w:r>
      <w:proofErr w:type="spellEnd"/>
      <w:r w:rsidR="00694068">
        <w:t xml:space="preserve"> </w:t>
      </w:r>
      <w:proofErr w:type="spellStart"/>
      <w:r w:rsidR="00694068">
        <w:t>Lesch</w:t>
      </w:r>
      <w:proofErr w:type="spellEnd"/>
      <w:r w:rsidR="00694068">
        <w:t xml:space="preserve"> perhaps to role </w:t>
      </w:r>
      <w:proofErr w:type="gramStart"/>
      <w:r w:rsidR="00694068">
        <w:t>play</w:t>
      </w:r>
      <w:proofErr w:type="gramEnd"/>
      <w:r w:rsidR="00694068">
        <w:t xml:space="preserve"> a professional conversation</w:t>
      </w:r>
      <w:r w:rsidR="00760131">
        <w:t xml:space="preserve">.  </w:t>
      </w:r>
      <w:proofErr w:type="gramStart"/>
      <w:r w:rsidR="00760131">
        <w:t>“An itch right now that some don’t feel comfortable to scratch.”</w:t>
      </w:r>
      <w:proofErr w:type="gramEnd"/>
      <w:r w:rsidR="00760131">
        <w:t xml:space="preserve">  Surprise by how often questions of lawsuit coming up—unusual in our professional conversations in general. </w:t>
      </w:r>
      <w:proofErr w:type="gramStart"/>
      <w:r w:rsidR="00760131">
        <w:t xml:space="preserve">UWM, Angel </w:t>
      </w:r>
      <w:proofErr w:type="spellStart"/>
      <w:r w:rsidR="00760131">
        <w:t>Tessel</w:t>
      </w:r>
      <w:proofErr w:type="spellEnd"/>
      <w:r w:rsidR="00760131">
        <w:t xml:space="preserve"> and Oshkosh Laurie Kroger.</w:t>
      </w:r>
      <w:proofErr w:type="gramEnd"/>
      <w:r w:rsidR="00760131">
        <w:t xml:space="preserve">  </w:t>
      </w:r>
      <w:proofErr w:type="gramStart"/>
      <w:r w:rsidR="00760131">
        <w:t>Great candidate support materials.</w:t>
      </w:r>
      <w:proofErr w:type="gramEnd"/>
      <w:r w:rsidR="007C70C3">
        <w:t xml:space="preserve">  This will be a priority for discussion in Illinois so that we all feel confident and comfortable with our practice.</w:t>
      </w:r>
    </w:p>
    <w:p w:rsidR="00E37FAD" w:rsidRDefault="00B13166" w:rsidP="008D6095">
      <w:pPr>
        <w:rPr>
          <w:b/>
          <w:color w:val="44546A" w:themeColor="dark2"/>
        </w:rPr>
      </w:pPr>
      <w:proofErr w:type="gramStart"/>
      <w:r>
        <w:rPr>
          <w:b/>
          <w:color w:val="44546A" w:themeColor="dark2"/>
        </w:rPr>
        <w:t>Recent dust-up from Fieldcrest</w:t>
      </w:r>
      <w:r w:rsidR="001F77AC">
        <w:rPr>
          <w:b/>
          <w:color w:val="44546A" w:themeColor="dark2"/>
        </w:rPr>
        <w:t>.</w:t>
      </w:r>
      <w:proofErr w:type="gramEnd"/>
      <w:r w:rsidR="001F77AC">
        <w:rPr>
          <w:b/>
          <w:color w:val="44546A" w:themeColor="dark2"/>
        </w:rPr>
        <w:t xml:space="preserve">  Superintendents are newly interested.</w:t>
      </w:r>
    </w:p>
    <w:p w:rsidR="00E37FAD" w:rsidRPr="00CF5677" w:rsidRDefault="00B13166" w:rsidP="00CF5677">
      <w:pPr>
        <w:ind w:left="720"/>
      </w:pPr>
      <w:r>
        <w:lastRenderedPageBreak/>
        <w:t xml:space="preserve">Not sure who all received the letter of concern from Fieldcrest, but it prompted Elisa and Team edTPA to craft a general response to be shared with ROE’s and posted on </w:t>
      </w:r>
      <w:hyperlink r:id="rId11" w:history="1">
        <w:r w:rsidRPr="00E248AA">
          <w:rPr>
            <w:rStyle w:val="Hyperlink"/>
          </w:rPr>
          <w:t>www.IL-TPAC.weebly.com</w:t>
        </w:r>
      </w:hyperlink>
      <w:r>
        <w:t xml:space="preserve">. </w:t>
      </w:r>
      <w:r w:rsidR="00AE4618">
        <w:t xml:space="preserve"> Please use the information sheet and reach out to your local regional superintendents and school and distric</w:t>
      </w:r>
      <w:r w:rsidR="007C70C3">
        <w:t>t</w:t>
      </w:r>
      <w:r w:rsidR="00AE4618">
        <w:t xml:space="preserve"> partner administrators to discuss.</w:t>
      </w:r>
    </w:p>
    <w:p w:rsidR="00F44B6B" w:rsidRDefault="00F44B6B" w:rsidP="008D6095">
      <w:pPr>
        <w:rPr>
          <w:b/>
          <w:color w:val="44546A" w:themeColor="dark2"/>
        </w:rPr>
      </w:pPr>
      <w:r>
        <w:rPr>
          <w:b/>
          <w:color w:val="44546A" w:themeColor="dark2"/>
        </w:rPr>
        <w:t>Revisiting the policy transition with APT and edTPA</w:t>
      </w:r>
    </w:p>
    <w:p w:rsidR="00F44B6B" w:rsidRDefault="00F44B6B" w:rsidP="00F44B6B">
      <w:pPr>
        <w:ind w:left="720"/>
      </w:pPr>
      <w:r>
        <w:t>Jason, reiterate the anticipated date-done for APT sunset and confirm that what determines which measure to complete is the term in which the candidate completed student teaching?</w:t>
      </w:r>
    </w:p>
    <w:p w:rsidR="00AE4618" w:rsidRDefault="00AE4618" w:rsidP="00F44B6B">
      <w:pPr>
        <w:ind w:left="720"/>
      </w:pPr>
      <w:bookmarkStart w:id="0" w:name="_GoBack"/>
      <w:proofErr w:type="gramStart"/>
      <w:r w:rsidRPr="00AE4618">
        <w:rPr>
          <w:b/>
        </w:rPr>
        <w:t>Certification of no objection from JCAR.</w:t>
      </w:r>
      <w:proofErr w:type="gramEnd"/>
      <w:r w:rsidRPr="00AE4618">
        <w:rPr>
          <w:b/>
        </w:rPr>
        <w:t xml:space="preserve">  The rule IS if one student taught before September 1, 2015, APT.  After = edTPA.  APT available for the next 5 years to catch any in that first category who for whatever reason haven’t completed.</w:t>
      </w:r>
      <w:bookmarkEnd w:id="0"/>
      <w:r>
        <w:t xml:space="preserve">  What if the quest to put edTPA on hold</w:t>
      </w:r>
      <w:r w:rsidR="00023694">
        <w:t xml:space="preserve"> succeeds</w:t>
      </w:r>
      <w:r>
        <w:t>?  Emergency rules process and probably rely on APT again.</w:t>
      </w:r>
      <w:r w:rsidR="00023694">
        <w:t xml:space="preserve">  IHE considering one year, one retake policy, so any limits from state?  No administrative rules to limit it.  Can a candidate declare </w:t>
      </w:r>
      <w:proofErr w:type="gramStart"/>
      <w:r w:rsidR="00023694">
        <w:t>themselves</w:t>
      </w:r>
      <w:proofErr w:type="gramEnd"/>
      <w:r w:rsidR="00023694">
        <w:t xml:space="preserve"> unaffiliated and try it again?  Well, how would they achieve a placement at least in a public school, as affiliation is </w:t>
      </w:r>
      <w:proofErr w:type="gramStart"/>
      <w:r w:rsidR="00023694">
        <w:t>required.</w:t>
      </w:r>
      <w:proofErr w:type="gramEnd"/>
      <w:r w:rsidR="00023694">
        <w:t xml:space="preserve">  From Jerry, can declare unaffiliated when registering and claim Illinois.  </w:t>
      </w:r>
      <w:proofErr w:type="gramStart"/>
      <w:r w:rsidR="00023694">
        <w:t>And yet nothing to prevent them from claiming a program in a registration period.</w:t>
      </w:r>
      <w:proofErr w:type="gramEnd"/>
      <w:r w:rsidR="00023694">
        <w:t xml:space="preserve">  </w:t>
      </w:r>
      <w:proofErr w:type="gramStart"/>
      <w:r w:rsidR="00023694">
        <w:t>Will need to adapt a familiar practice to review score reports to verify our candidates.</w:t>
      </w:r>
      <w:proofErr w:type="gramEnd"/>
    </w:p>
    <w:p w:rsidR="00023694" w:rsidRPr="00AE4618" w:rsidRDefault="00023694" w:rsidP="00F44B6B">
      <w:pPr>
        <w:ind w:left="720"/>
      </w:pPr>
      <w:r>
        <w:t xml:space="preserve">Random details:  Vouchers are good for 18 months, and good for 18 months once the candidate registers.  If you have ordered vouchers and have not received them, please contact Jerry Bush as that is highly unusual. </w:t>
      </w:r>
    </w:p>
    <w:p w:rsidR="008D6095" w:rsidRPr="00772267" w:rsidRDefault="008D6095" w:rsidP="008D6095">
      <w:pPr>
        <w:rPr>
          <w:b/>
          <w:color w:val="44546A" w:themeColor="dark2"/>
        </w:rPr>
      </w:pPr>
      <w:r w:rsidRPr="00772267">
        <w:rPr>
          <w:b/>
          <w:color w:val="44546A" w:themeColor="dark2"/>
        </w:rPr>
        <w:t>Updates</w:t>
      </w:r>
    </w:p>
    <w:p w:rsidR="00F44B6B" w:rsidRDefault="00F44B6B" w:rsidP="00F44B6B">
      <w:pPr>
        <w:ind w:left="720"/>
        <w:rPr>
          <w:color w:val="44546A" w:themeColor="dark2"/>
        </w:rPr>
      </w:pPr>
      <w:r>
        <w:rPr>
          <w:color w:val="44546A" w:themeColor="dark2"/>
        </w:rPr>
        <w:t>Program steering committee</w:t>
      </w:r>
    </w:p>
    <w:p w:rsidR="00F44B6B" w:rsidRPr="00760131" w:rsidRDefault="00760131" w:rsidP="00F44B6B">
      <w:pPr>
        <w:ind w:left="1440"/>
      </w:pPr>
      <w:proofErr w:type="gramStart"/>
      <w:r>
        <w:t>Creating communication liaisons for regional networks to enliven discussion.</w:t>
      </w:r>
      <w:proofErr w:type="gramEnd"/>
    </w:p>
    <w:p w:rsidR="00B13166" w:rsidRDefault="00B13166" w:rsidP="00B13166">
      <w:pPr>
        <w:ind w:left="720"/>
        <w:rPr>
          <w:color w:val="44546A" w:themeColor="dark2"/>
        </w:rPr>
      </w:pPr>
      <w:r>
        <w:rPr>
          <w:color w:val="44546A" w:themeColor="dark2"/>
        </w:rPr>
        <w:t>IHE’s</w:t>
      </w:r>
    </w:p>
    <w:p w:rsidR="00760131" w:rsidRDefault="00760131" w:rsidP="00B13166">
      <w:pPr>
        <w:ind w:left="1440"/>
      </w:pPr>
      <w:r>
        <w:t xml:space="preserve">Southwest and </w:t>
      </w:r>
      <w:proofErr w:type="gramStart"/>
      <w:r>
        <w:t>West</w:t>
      </w:r>
      <w:proofErr w:type="gramEnd"/>
      <w:r>
        <w:t xml:space="preserve"> would really like a webinar that is helpful in understanding the Results Analyzer tool we receive when we receive results.  Time it closer to score reporting.  Jerry will send Amee an invite to forward to the group.  </w:t>
      </w:r>
      <w:proofErr w:type="gramStart"/>
      <w:r>
        <w:t>Also can contact Jerry Bush directly when questions arise.</w:t>
      </w:r>
      <w:proofErr w:type="gramEnd"/>
    </w:p>
    <w:p w:rsidR="00B13166" w:rsidRPr="00B13166" w:rsidRDefault="00B13166" w:rsidP="00B13166">
      <w:pPr>
        <w:ind w:left="1440"/>
      </w:pPr>
      <w:r>
        <w:t>Not just an edTPA thing, but hearing more verbiage from districts wanting us to indemnify student teachers.</w:t>
      </w:r>
    </w:p>
    <w:p w:rsidR="00E37FAD" w:rsidRDefault="00E37FAD" w:rsidP="00E37FAD">
      <w:pPr>
        <w:ind w:left="720"/>
        <w:rPr>
          <w:color w:val="44546A" w:themeColor="dark2"/>
        </w:rPr>
      </w:pPr>
      <w:r>
        <w:rPr>
          <w:color w:val="44546A" w:themeColor="dark2"/>
        </w:rPr>
        <w:t>SCALE</w:t>
      </w:r>
    </w:p>
    <w:p w:rsidR="00760131" w:rsidRDefault="00760131" w:rsidP="00760131">
      <w:pPr>
        <w:ind w:left="1440"/>
      </w:pPr>
      <w:r>
        <w:t>First week of October:  local evaluation materials refresh</w:t>
      </w:r>
      <w:r w:rsidR="00EE6323">
        <w:t>ed and in the secure Box site.</w:t>
      </w:r>
    </w:p>
    <w:p w:rsidR="00EE6323" w:rsidRPr="00760131" w:rsidRDefault="00EE6323" w:rsidP="00760131">
      <w:pPr>
        <w:ind w:left="1440"/>
      </w:pPr>
      <w:proofErr w:type="gramStart"/>
      <w:r>
        <w:t>Technical Report release pending very soon.</w:t>
      </w:r>
      <w:proofErr w:type="gramEnd"/>
    </w:p>
    <w:p w:rsidR="00B13166" w:rsidRDefault="00B13166" w:rsidP="00E37FAD">
      <w:pPr>
        <w:ind w:left="720"/>
        <w:rPr>
          <w:color w:val="44546A" w:themeColor="dark2"/>
        </w:rPr>
      </w:pPr>
      <w:r>
        <w:rPr>
          <w:color w:val="44546A" w:themeColor="dark2"/>
        </w:rPr>
        <w:t>ISBE</w:t>
      </w:r>
    </w:p>
    <w:p w:rsidR="00F44B6B" w:rsidRPr="00F44B6B" w:rsidRDefault="00EE6323" w:rsidP="00F44B6B">
      <w:pPr>
        <w:ind w:left="1440"/>
      </w:pPr>
      <w:r>
        <w:t>State workgroup is a work in progress; deans or designees have been selected and invited.</w:t>
      </w:r>
    </w:p>
    <w:p w:rsidR="00B13166" w:rsidRDefault="00B13166" w:rsidP="00E37FAD">
      <w:pPr>
        <w:ind w:left="720"/>
        <w:rPr>
          <w:color w:val="44546A" w:themeColor="dark2"/>
        </w:rPr>
      </w:pPr>
      <w:r>
        <w:rPr>
          <w:color w:val="44546A" w:themeColor="dark2"/>
        </w:rPr>
        <w:lastRenderedPageBreak/>
        <w:t>Evaluation Systems</w:t>
      </w:r>
    </w:p>
    <w:p w:rsidR="00EE6323" w:rsidRPr="00EE6323" w:rsidRDefault="00EE6323" w:rsidP="00EE6323">
      <w:pPr>
        <w:ind w:left="1440"/>
      </w:pPr>
      <w:proofErr w:type="gramStart"/>
      <w:r>
        <w:t>Will be on the program for IACTE and looking forward to it.</w:t>
      </w:r>
      <w:proofErr w:type="gramEnd"/>
    </w:p>
    <w:sectPr w:rsidR="00EE6323" w:rsidRPr="00EE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52"/>
    <w:multiLevelType w:val="hybridMultilevel"/>
    <w:tmpl w:val="512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D6E"/>
    <w:multiLevelType w:val="hybridMultilevel"/>
    <w:tmpl w:val="B81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40928"/>
    <w:multiLevelType w:val="hybridMultilevel"/>
    <w:tmpl w:val="E32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F66A0"/>
    <w:multiLevelType w:val="hybridMultilevel"/>
    <w:tmpl w:val="932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6377F"/>
    <w:multiLevelType w:val="hybridMultilevel"/>
    <w:tmpl w:val="94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B4A77"/>
    <w:multiLevelType w:val="hybridMultilevel"/>
    <w:tmpl w:val="0D305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67700336"/>
    <w:multiLevelType w:val="hybridMultilevel"/>
    <w:tmpl w:val="DFA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6127D"/>
    <w:multiLevelType w:val="hybridMultilevel"/>
    <w:tmpl w:val="FA008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D006D6D"/>
    <w:multiLevelType w:val="hybridMultilevel"/>
    <w:tmpl w:val="61E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93DE6"/>
    <w:multiLevelType w:val="hybridMultilevel"/>
    <w:tmpl w:val="AD3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6"/>
  </w:num>
  <w:num w:numId="7">
    <w:abstractNumId w:val="3"/>
  </w:num>
  <w:num w:numId="8">
    <w:abstractNumId w:val="2"/>
  </w:num>
  <w:num w:numId="9">
    <w:abstractNumId w:val="12"/>
  </w:num>
  <w:num w:numId="10">
    <w:abstractNumId w:val="9"/>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4"/>
    <w:rsid w:val="00023694"/>
    <w:rsid w:val="00061E8B"/>
    <w:rsid w:val="00075AE9"/>
    <w:rsid w:val="000B1B44"/>
    <w:rsid w:val="000C49F4"/>
    <w:rsid w:val="0014541F"/>
    <w:rsid w:val="0018591E"/>
    <w:rsid w:val="0018636B"/>
    <w:rsid w:val="001878AE"/>
    <w:rsid w:val="001C4952"/>
    <w:rsid w:val="001D14AA"/>
    <w:rsid w:val="001E75A3"/>
    <w:rsid w:val="001F77AC"/>
    <w:rsid w:val="00210444"/>
    <w:rsid w:val="002F00DA"/>
    <w:rsid w:val="003023EE"/>
    <w:rsid w:val="00303B22"/>
    <w:rsid w:val="0031501B"/>
    <w:rsid w:val="0033775D"/>
    <w:rsid w:val="00350465"/>
    <w:rsid w:val="003723F0"/>
    <w:rsid w:val="00383499"/>
    <w:rsid w:val="003C2E9B"/>
    <w:rsid w:val="004305A9"/>
    <w:rsid w:val="004B2AE8"/>
    <w:rsid w:val="00502099"/>
    <w:rsid w:val="00527F14"/>
    <w:rsid w:val="00551C5A"/>
    <w:rsid w:val="00580679"/>
    <w:rsid w:val="005939D6"/>
    <w:rsid w:val="005A180F"/>
    <w:rsid w:val="00653BFF"/>
    <w:rsid w:val="00694068"/>
    <w:rsid w:val="006C6880"/>
    <w:rsid w:val="006F1C70"/>
    <w:rsid w:val="00720DEA"/>
    <w:rsid w:val="00742F30"/>
    <w:rsid w:val="00760131"/>
    <w:rsid w:val="00772267"/>
    <w:rsid w:val="007A7F89"/>
    <w:rsid w:val="007C58BC"/>
    <w:rsid w:val="007C70C3"/>
    <w:rsid w:val="00800ED1"/>
    <w:rsid w:val="00803454"/>
    <w:rsid w:val="008330B1"/>
    <w:rsid w:val="00837F6E"/>
    <w:rsid w:val="00845583"/>
    <w:rsid w:val="008565FD"/>
    <w:rsid w:val="008D4A1C"/>
    <w:rsid w:val="008D6095"/>
    <w:rsid w:val="008F5FE9"/>
    <w:rsid w:val="009102A5"/>
    <w:rsid w:val="009239AC"/>
    <w:rsid w:val="00977FD0"/>
    <w:rsid w:val="009902D4"/>
    <w:rsid w:val="009E1A53"/>
    <w:rsid w:val="009F3AE0"/>
    <w:rsid w:val="009F5AC6"/>
    <w:rsid w:val="00A42711"/>
    <w:rsid w:val="00AE4618"/>
    <w:rsid w:val="00B13166"/>
    <w:rsid w:val="00B203C5"/>
    <w:rsid w:val="00B3359F"/>
    <w:rsid w:val="00B725E8"/>
    <w:rsid w:val="00BC3E5C"/>
    <w:rsid w:val="00BD7613"/>
    <w:rsid w:val="00C11E71"/>
    <w:rsid w:val="00C55FD5"/>
    <w:rsid w:val="00CC207C"/>
    <w:rsid w:val="00CC70D6"/>
    <w:rsid w:val="00CD18CF"/>
    <w:rsid w:val="00CD441B"/>
    <w:rsid w:val="00CF5677"/>
    <w:rsid w:val="00D34DC1"/>
    <w:rsid w:val="00D7192A"/>
    <w:rsid w:val="00DE405B"/>
    <w:rsid w:val="00E204C4"/>
    <w:rsid w:val="00E37FAD"/>
    <w:rsid w:val="00E53555"/>
    <w:rsid w:val="00E63EC9"/>
    <w:rsid w:val="00ED4675"/>
    <w:rsid w:val="00EE6323"/>
    <w:rsid w:val="00EE781E"/>
    <w:rsid w:val="00F36F8B"/>
    <w:rsid w:val="00F44B6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149830707">
      <w:bodyDiv w:val="1"/>
      <w:marLeft w:val="0"/>
      <w:marRight w:val="0"/>
      <w:marTop w:val="0"/>
      <w:marBottom w:val="0"/>
      <w:divBdr>
        <w:top w:val="none" w:sz="0" w:space="0" w:color="auto"/>
        <w:left w:val="none" w:sz="0" w:space="0" w:color="auto"/>
        <w:bottom w:val="none" w:sz="0" w:space="0" w:color="auto"/>
        <w:right w:val="none" w:sz="0" w:space="0" w:color="auto"/>
      </w:divBdr>
    </w:div>
    <w:div w:id="1199665394">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CFBC95.70369C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L-TPAC.weebly.com" TargetMode="External"/><Relationship Id="rId5" Type="http://schemas.openxmlformats.org/officeDocument/2006/relationships/webSettings" Target="webSettings.xml"/><Relationship Id="rId10" Type="http://schemas.openxmlformats.org/officeDocument/2006/relationships/hyperlink" Target="http://www.IL-TPAC.weebly.com" TargetMode="External"/><Relationship Id="rId4" Type="http://schemas.openxmlformats.org/officeDocument/2006/relationships/settings" Target="settings.xml"/><Relationship Id="rId9" Type="http://schemas.openxmlformats.org/officeDocument/2006/relationships/hyperlink" Target="http://tinyurl.com/ILTPAC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Amee</dc:creator>
  <cp:lastModifiedBy>test</cp:lastModifiedBy>
  <cp:revision>5</cp:revision>
  <dcterms:created xsi:type="dcterms:W3CDTF">2015-09-21T19:26:00Z</dcterms:created>
  <dcterms:modified xsi:type="dcterms:W3CDTF">2015-09-23T13:25:00Z</dcterms:modified>
</cp:coreProperties>
</file>