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AA" w:rsidRDefault="001D59AA" w:rsidP="001D59AA">
      <w:pPr>
        <w:rPr>
          <w:color w:val="000000"/>
          <w:sz w:val="21"/>
          <w:szCs w:val="21"/>
        </w:rPr>
      </w:pPr>
      <w:r>
        <w:rPr>
          <w:color w:val="000000"/>
          <w:sz w:val="21"/>
          <w:szCs w:val="21"/>
        </w:rPr>
        <w:t>Dear IL-</w:t>
      </w:r>
      <w:proofErr w:type="spellStart"/>
      <w:r>
        <w:rPr>
          <w:color w:val="000000"/>
          <w:sz w:val="21"/>
          <w:szCs w:val="21"/>
        </w:rPr>
        <w:t>edTPACkers</w:t>
      </w:r>
      <w:proofErr w:type="spellEnd"/>
      <w:r>
        <w:rPr>
          <w:color w:val="000000"/>
          <w:sz w:val="21"/>
          <w:szCs w:val="21"/>
        </w:rPr>
        <w:t xml:space="preserve"> (notice the name change, TPA is now "</w:t>
      </w:r>
      <w:proofErr w:type="spellStart"/>
      <w:r>
        <w:rPr>
          <w:color w:val="000000"/>
          <w:sz w:val="21"/>
          <w:szCs w:val="21"/>
        </w:rPr>
        <w:t>edTPA</w:t>
      </w:r>
      <w:proofErr w:type="spellEnd"/>
      <w:r>
        <w:rPr>
          <w:color w:val="000000"/>
          <w:sz w:val="21"/>
          <w:szCs w:val="21"/>
        </w:rPr>
        <w:t>"),</w:t>
      </w:r>
    </w:p>
    <w:p w:rsidR="001D59AA" w:rsidRDefault="001D59AA" w:rsidP="001D59AA">
      <w:pPr>
        <w:rPr>
          <w:color w:val="000000"/>
          <w:sz w:val="21"/>
          <w:szCs w:val="21"/>
        </w:rPr>
      </w:pPr>
    </w:p>
    <w:p w:rsidR="001D59AA" w:rsidRDefault="001D59AA" w:rsidP="001D59AA">
      <w:pPr>
        <w:rPr>
          <w:color w:val="000000"/>
          <w:sz w:val="21"/>
          <w:szCs w:val="21"/>
        </w:rPr>
      </w:pPr>
      <w:r>
        <w:rPr>
          <w:color w:val="000000"/>
          <w:sz w:val="21"/>
          <w:szCs w:val="21"/>
        </w:rPr>
        <w:t xml:space="preserve">We reconvened our state steering committee conference call meetings last week, so I'm happy to share the following information with you.  We focused on plans for scoring portfolios before the </w:t>
      </w:r>
      <w:proofErr w:type="spellStart"/>
      <w:r>
        <w:rPr>
          <w:color w:val="000000"/>
          <w:sz w:val="21"/>
          <w:szCs w:val="21"/>
        </w:rPr>
        <w:t>edTPA</w:t>
      </w:r>
      <w:proofErr w:type="spellEnd"/>
      <w:r>
        <w:rPr>
          <w:color w:val="000000"/>
          <w:sz w:val="21"/>
          <w:szCs w:val="21"/>
        </w:rPr>
        <w:t xml:space="preserve"> becomes consequential in September, 2015.  This call included representation from Pearson to talk about the usage plan (copy attached) and the "usage credits" they will offer the year before our policy kicks in.</w:t>
      </w:r>
    </w:p>
    <w:p w:rsidR="001D59AA" w:rsidRDefault="001D59AA" w:rsidP="001D59AA">
      <w:pPr>
        <w:rPr>
          <w:color w:val="000000"/>
          <w:sz w:val="21"/>
          <w:szCs w:val="21"/>
        </w:rPr>
      </w:pPr>
    </w:p>
    <w:p w:rsidR="001D59AA" w:rsidRDefault="001D59AA" w:rsidP="001D59AA">
      <w:pPr>
        <w:rPr>
          <w:color w:val="000000"/>
          <w:sz w:val="21"/>
          <w:szCs w:val="21"/>
        </w:rPr>
      </w:pPr>
      <w:r>
        <w:rPr>
          <w:color w:val="000000"/>
          <w:sz w:val="21"/>
          <w:szCs w:val="21"/>
        </w:rPr>
        <w:t>Here is information about:</w:t>
      </w:r>
    </w:p>
    <w:p w:rsidR="001D59AA" w:rsidRDefault="001D59AA" w:rsidP="001D59AA">
      <w:pPr>
        <w:numPr>
          <w:ilvl w:val="0"/>
          <w:numId w:val="2"/>
        </w:numPr>
        <w:spacing w:before="100" w:beforeAutospacing="1" w:after="100" w:afterAutospacing="1"/>
        <w:rPr>
          <w:rFonts w:eastAsia="Times New Roman"/>
          <w:color w:val="000000"/>
          <w:sz w:val="21"/>
          <w:szCs w:val="21"/>
        </w:rPr>
      </w:pPr>
      <w:r>
        <w:rPr>
          <w:rFonts w:eastAsia="Times New Roman"/>
          <w:b/>
          <w:bCs/>
          <w:color w:val="000000"/>
          <w:sz w:val="21"/>
          <w:szCs w:val="21"/>
        </w:rPr>
        <w:t>Pre-2015 official scoring</w:t>
      </w:r>
    </w:p>
    <w:p w:rsidR="001D59AA" w:rsidRDefault="001D59AA" w:rsidP="001D59AA">
      <w:pPr>
        <w:numPr>
          <w:ilvl w:val="0"/>
          <w:numId w:val="2"/>
        </w:numPr>
        <w:spacing w:before="100" w:beforeAutospacing="1" w:after="100" w:afterAutospacing="1"/>
        <w:rPr>
          <w:rFonts w:eastAsia="Times New Roman"/>
          <w:color w:val="000000"/>
          <w:sz w:val="21"/>
          <w:szCs w:val="21"/>
        </w:rPr>
      </w:pPr>
      <w:r>
        <w:rPr>
          <w:rFonts w:eastAsia="Times New Roman"/>
          <w:b/>
          <w:bCs/>
          <w:color w:val="000000"/>
          <w:sz w:val="21"/>
          <w:szCs w:val="21"/>
        </w:rPr>
        <w:t>Pass score setting</w:t>
      </w:r>
    </w:p>
    <w:p w:rsidR="001D59AA" w:rsidRDefault="001D59AA" w:rsidP="001D59AA">
      <w:pPr>
        <w:numPr>
          <w:ilvl w:val="0"/>
          <w:numId w:val="2"/>
        </w:numPr>
        <w:spacing w:before="100" w:beforeAutospacing="1" w:after="100" w:afterAutospacing="1"/>
        <w:rPr>
          <w:rFonts w:eastAsia="Times New Roman"/>
          <w:color w:val="000000"/>
          <w:sz w:val="21"/>
          <w:szCs w:val="21"/>
        </w:rPr>
      </w:pPr>
      <w:r>
        <w:rPr>
          <w:rStyle w:val="apple-style-span"/>
          <w:rFonts w:eastAsia="Times New Roman"/>
          <w:b/>
          <w:bCs/>
          <w:color w:val="000000"/>
          <w:sz w:val="21"/>
          <w:szCs w:val="21"/>
        </w:rPr>
        <w:t>Usage credits</w:t>
      </w:r>
    </w:p>
    <w:p w:rsidR="001D59AA" w:rsidRDefault="001D59AA" w:rsidP="001D59AA">
      <w:pPr>
        <w:numPr>
          <w:ilvl w:val="0"/>
          <w:numId w:val="2"/>
        </w:numPr>
        <w:spacing w:before="100" w:beforeAutospacing="1" w:after="100" w:afterAutospacing="1"/>
        <w:rPr>
          <w:rFonts w:eastAsia="Times New Roman"/>
          <w:color w:val="000000"/>
          <w:sz w:val="21"/>
          <w:szCs w:val="21"/>
        </w:rPr>
      </w:pPr>
      <w:r>
        <w:rPr>
          <w:rFonts w:eastAsia="Times New Roman"/>
          <w:b/>
          <w:bCs/>
          <w:color w:val="000000"/>
          <w:sz w:val="21"/>
          <w:szCs w:val="21"/>
        </w:rPr>
        <w:t>Remediation options</w:t>
      </w:r>
    </w:p>
    <w:p w:rsidR="001D59AA" w:rsidRDefault="001D59AA" w:rsidP="001D59AA">
      <w:pPr>
        <w:numPr>
          <w:ilvl w:val="0"/>
          <w:numId w:val="2"/>
        </w:numPr>
        <w:spacing w:before="100" w:beforeAutospacing="1" w:after="100" w:afterAutospacing="1"/>
        <w:rPr>
          <w:rFonts w:eastAsia="Times New Roman"/>
          <w:color w:val="000000"/>
          <w:sz w:val="21"/>
          <w:szCs w:val="21"/>
        </w:rPr>
      </w:pPr>
      <w:r>
        <w:rPr>
          <w:rStyle w:val="apple-style-span"/>
          <w:rFonts w:eastAsia="Times New Roman"/>
          <w:b/>
          <w:bCs/>
          <w:color w:val="000000"/>
          <w:sz w:val="21"/>
          <w:szCs w:val="21"/>
        </w:rPr>
        <w:t>Support for local evaluation</w:t>
      </w:r>
    </w:p>
    <w:p w:rsidR="001D59AA" w:rsidRDefault="001D59AA" w:rsidP="001D59AA">
      <w:pPr>
        <w:rPr>
          <w:color w:val="000000"/>
          <w:sz w:val="21"/>
          <w:szCs w:val="21"/>
        </w:rPr>
      </w:pPr>
    </w:p>
    <w:p w:rsidR="001D59AA" w:rsidRDefault="001D59AA" w:rsidP="001D59AA">
      <w:pPr>
        <w:rPr>
          <w:color w:val="000000"/>
          <w:sz w:val="21"/>
          <w:szCs w:val="21"/>
        </w:rPr>
      </w:pPr>
      <w:r>
        <w:rPr>
          <w:color w:val="000000"/>
          <w:sz w:val="21"/>
          <w:szCs w:val="21"/>
        </w:rPr>
        <w:t>Important dates to note:</w:t>
      </w:r>
    </w:p>
    <w:p w:rsidR="001D59AA" w:rsidRDefault="001D59AA" w:rsidP="001D59AA">
      <w:pPr>
        <w:rPr>
          <w:color w:val="000000"/>
          <w:sz w:val="21"/>
          <w:szCs w:val="21"/>
        </w:rPr>
      </w:pPr>
      <w:r>
        <w:rPr>
          <w:rFonts w:ascii="Arial" w:hAnsi="Arial" w:cs="Arial"/>
          <w:color w:val="003333"/>
          <w:sz w:val="18"/>
          <w:szCs w:val="18"/>
          <w:shd w:val="clear" w:color="auto" w:fill="E1F5FC"/>
        </w:rPr>
        <w:t xml:space="preserve">The </w:t>
      </w:r>
      <w:proofErr w:type="spellStart"/>
      <w:r>
        <w:rPr>
          <w:rFonts w:ascii="Arial" w:hAnsi="Arial" w:cs="Arial"/>
          <w:b/>
          <w:bCs/>
          <w:color w:val="003333"/>
          <w:sz w:val="18"/>
          <w:szCs w:val="18"/>
          <w:shd w:val="clear" w:color="auto" w:fill="E1F5FC"/>
        </w:rPr>
        <w:t>edTPA</w:t>
      </w:r>
      <w:proofErr w:type="spellEnd"/>
      <w:r>
        <w:rPr>
          <w:rFonts w:ascii="Arial" w:hAnsi="Arial" w:cs="Arial"/>
          <w:b/>
          <w:bCs/>
          <w:color w:val="003333"/>
          <w:sz w:val="18"/>
          <w:szCs w:val="18"/>
          <w:shd w:val="clear" w:color="auto" w:fill="E1F5FC"/>
        </w:rPr>
        <w:t xml:space="preserve"> Implementation Conference</w:t>
      </w:r>
      <w:r>
        <w:rPr>
          <w:rFonts w:ascii="Arial" w:hAnsi="Arial" w:cs="Arial"/>
          <w:color w:val="003333"/>
          <w:sz w:val="18"/>
          <w:szCs w:val="18"/>
          <w:shd w:val="clear" w:color="auto" w:fill="E1F5FC"/>
        </w:rPr>
        <w:t xml:space="preserve"> will be convened </w:t>
      </w:r>
      <w:r>
        <w:rPr>
          <w:rFonts w:ascii="Arial" w:hAnsi="Arial" w:cs="Arial"/>
          <w:b/>
          <w:bCs/>
          <w:color w:val="003333"/>
          <w:sz w:val="18"/>
          <w:szCs w:val="18"/>
          <w:shd w:val="clear" w:color="auto" w:fill="E1F5FC"/>
        </w:rPr>
        <w:t xml:space="preserve">November 2-3, 2012 </w:t>
      </w:r>
      <w:r>
        <w:rPr>
          <w:rFonts w:ascii="Arial" w:hAnsi="Arial" w:cs="Arial"/>
          <w:color w:val="003333"/>
          <w:sz w:val="18"/>
          <w:szCs w:val="18"/>
          <w:shd w:val="clear" w:color="auto" w:fill="E1F5FC"/>
        </w:rPr>
        <w:t>at the University of San Diego. </w:t>
      </w:r>
    </w:p>
    <w:p w:rsidR="001D59AA" w:rsidRDefault="001D59AA" w:rsidP="001D59AA">
      <w:pPr>
        <w:rPr>
          <w:color w:val="000000"/>
          <w:sz w:val="21"/>
          <w:szCs w:val="21"/>
        </w:rPr>
      </w:pPr>
      <w:r>
        <w:rPr>
          <w:b/>
          <w:bCs/>
          <w:color w:val="000000"/>
          <w:sz w:val="21"/>
          <w:szCs w:val="21"/>
        </w:rPr>
        <w:t>November 20, 2012</w:t>
      </w:r>
      <w:r>
        <w:rPr>
          <w:color w:val="000000"/>
          <w:sz w:val="21"/>
          <w:szCs w:val="21"/>
        </w:rPr>
        <w:t>:  Deadline to notify Pearson for institution-sponsored scoring.</w:t>
      </w:r>
    </w:p>
    <w:p w:rsidR="001D59AA" w:rsidRDefault="001D59AA" w:rsidP="001D59AA">
      <w:pPr>
        <w:rPr>
          <w:color w:val="000000"/>
          <w:sz w:val="21"/>
          <w:szCs w:val="21"/>
        </w:rPr>
      </w:pPr>
    </w:p>
    <w:p w:rsidR="001D59AA" w:rsidRDefault="001D59AA" w:rsidP="001D59AA">
      <w:pPr>
        <w:rPr>
          <w:color w:val="000000"/>
          <w:sz w:val="21"/>
          <w:szCs w:val="21"/>
        </w:rPr>
      </w:pPr>
      <w:r>
        <w:rPr>
          <w:b/>
          <w:bCs/>
          <w:color w:val="000000"/>
          <w:sz w:val="21"/>
          <w:szCs w:val="21"/>
        </w:rPr>
        <w:t>Pre-2015 official scoring</w:t>
      </w:r>
    </w:p>
    <w:p w:rsidR="001D59AA" w:rsidRDefault="001D59AA" w:rsidP="001D59AA">
      <w:pPr>
        <w:rPr>
          <w:color w:val="000000"/>
          <w:sz w:val="21"/>
          <w:szCs w:val="21"/>
        </w:rPr>
      </w:pPr>
      <w:proofErr w:type="gramStart"/>
      <w:r>
        <w:rPr>
          <w:sz w:val="21"/>
          <w:szCs w:val="21"/>
        </w:rPr>
        <w:t>Details to follow ASAP.</w:t>
      </w:r>
      <w:proofErr w:type="gramEnd"/>
    </w:p>
    <w:p w:rsidR="001D59AA" w:rsidRDefault="001D59AA" w:rsidP="001D59AA">
      <w:pPr>
        <w:rPr>
          <w:color w:val="000000"/>
          <w:sz w:val="21"/>
          <w:szCs w:val="21"/>
        </w:rPr>
      </w:pPr>
    </w:p>
    <w:p w:rsidR="001D59AA" w:rsidRDefault="001D59AA" w:rsidP="001D59AA">
      <w:pPr>
        <w:rPr>
          <w:color w:val="000000"/>
          <w:sz w:val="21"/>
          <w:szCs w:val="21"/>
        </w:rPr>
      </w:pPr>
      <w:r>
        <w:rPr>
          <w:b/>
          <w:bCs/>
          <w:color w:val="000000"/>
          <w:sz w:val="21"/>
          <w:szCs w:val="21"/>
        </w:rPr>
        <w:t>Pass score setting</w:t>
      </w:r>
    </w:p>
    <w:p w:rsidR="001D59AA" w:rsidRDefault="001D59AA" w:rsidP="001D59AA">
      <w:pPr>
        <w:rPr>
          <w:color w:val="000000"/>
          <w:sz w:val="21"/>
          <w:szCs w:val="21"/>
        </w:rPr>
      </w:pPr>
      <w:r>
        <w:rPr>
          <w:color w:val="000000"/>
          <w:sz w:val="21"/>
          <w:szCs w:val="21"/>
        </w:rPr>
        <w:t xml:space="preserve">Stanford is leading the effort for setting a national pass score and the work is underway, due for completion this fall.  States will need to follow with their own passing standard, but they are strongly discouraged from setting a standard </w:t>
      </w:r>
      <w:r>
        <w:rPr>
          <w:i/>
          <w:iCs/>
          <w:color w:val="000000"/>
          <w:sz w:val="21"/>
          <w:szCs w:val="21"/>
        </w:rPr>
        <w:t>any higher</w:t>
      </w:r>
      <w:r>
        <w:rPr>
          <w:color w:val="000000"/>
          <w:sz w:val="21"/>
          <w:szCs w:val="21"/>
        </w:rPr>
        <w:t xml:space="preserve"> than the national standard.  Options are (1) use the year before full implementation to conduct a state field test, (2) use the national standard, or (3) with Pearson's technical support, set some statistically defensible lower standard with the idea that the state will revisit after some period of time.  Vicki Phillips will take this question to Linda Tomlinson.  My guess is #1 will come off the table and #2 is the most likely candidate.</w:t>
      </w:r>
    </w:p>
    <w:p w:rsidR="001D59AA" w:rsidRDefault="001D59AA" w:rsidP="001D59AA">
      <w:pPr>
        <w:rPr>
          <w:color w:val="000000"/>
          <w:sz w:val="21"/>
          <w:szCs w:val="21"/>
        </w:rPr>
      </w:pPr>
    </w:p>
    <w:p w:rsidR="001D59AA" w:rsidRDefault="001D59AA" w:rsidP="001D59AA">
      <w:pPr>
        <w:rPr>
          <w:color w:val="000000"/>
          <w:sz w:val="21"/>
          <w:szCs w:val="21"/>
        </w:rPr>
      </w:pPr>
      <w:r>
        <w:rPr>
          <w:b/>
          <w:bCs/>
          <w:color w:val="000000"/>
          <w:sz w:val="21"/>
          <w:szCs w:val="21"/>
        </w:rPr>
        <w:t>Usage credits</w:t>
      </w:r>
    </w:p>
    <w:p w:rsidR="001D59AA" w:rsidRDefault="001D59AA" w:rsidP="001D59AA">
      <w:pPr>
        <w:rPr>
          <w:color w:val="000000"/>
          <w:sz w:val="21"/>
          <w:szCs w:val="21"/>
        </w:rPr>
      </w:pPr>
      <w:r>
        <w:rPr>
          <w:color w:val="000000"/>
          <w:sz w:val="21"/>
          <w:szCs w:val="21"/>
        </w:rPr>
        <w:t xml:space="preserve">This refers to the "freebies" Pearson is providing for official scoring the year before a state's policy goes into effect.  IL will receive credits for 10% of its average number of program completer.  This means we will receive credits for scoring 500 portfolios each in </w:t>
      </w:r>
      <w:proofErr w:type="gramStart"/>
      <w:r>
        <w:rPr>
          <w:color w:val="000000"/>
          <w:sz w:val="21"/>
          <w:szCs w:val="21"/>
        </w:rPr>
        <w:t>Fall</w:t>
      </w:r>
      <w:proofErr w:type="gramEnd"/>
      <w:r>
        <w:rPr>
          <w:color w:val="000000"/>
          <w:sz w:val="21"/>
          <w:szCs w:val="21"/>
        </w:rPr>
        <w:t xml:space="preserve"> 2014 and Spring 2015.  The means for allocating those usage credits among our programs is a "to do" item, for sure.  The steering committee recommended that Linda Tomlinson strategically add some members to her Higher Education Stakeholders Advisory Group and charge them to develop an allocation plan that is fair and equitable.</w:t>
      </w:r>
    </w:p>
    <w:p w:rsidR="001D59AA" w:rsidRDefault="001D59AA" w:rsidP="001D59AA">
      <w:pPr>
        <w:rPr>
          <w:color w:val="000000"/>
          <w:sz w:val="21"/>
          <w:szCs w:val="21"/>
        </w:rPr>
      </w:pPr>
    </w:p>
    <w:p w:rsidR="001D59AA" w:rsidRDefault="001D59AA" w:rsidP="001D59AA">
      <w:pPr>
        <w:rPr>
          <w:color w:val="000000"/>
          <w:sz w:val="21"/>
          <w:szCs w:val="21"/>
        </w:rPr>
      </w:pPr>
      <w:r>
        <w:rPr>
          <w:color w:val="000000"/>
          <w:sz w:val="21"/>
          <w:szCs w:val="21"/>
        </w:rPr>
        <w:t>We will move as a state into different status categories.  Currently we are considered "exploratory."</w:t>
      </w:r>
    </w:p>
    <w:p w:rsidR="001D59AA" w:rsidRDefault="001D59AA" w:rsidP="001D59AA">
      <w:pPr>
        <w:rPr>
          <w:color w:val="000000"/>
          <w:sz w:val="21"/>
          <w:szCs w:val="21"/>
        </w:rPr>
      </w:pPr>
    </w:p>
    <w:p w:rsidR="001D59AA" w:rsidRDefault="001D59AA" w:rsidP="001D59AA">
      <w:pPr>
        <w:rPr>
          <w:color w:val="000000"/>
          <w:sz w:val="21"/>
          <w:szCs w:val="21"/>
        </w:rPr>
      </w:pPr>
      <w:r>
        <w:rPr>
          <w:b/>
          <w:bCs/>
          <w:color w:val="000000"/>
          <w:sz w:val="21"/>
          <w:szCs w:val="21"/>
        </w:rPr>
        <w:t>Remediation options</w:t>
      </w:r>
    </w:p>
    <w:p w:rsidR="001D59AA" w:rsidRDefault="001D59AA" w:rsidP="001D59AA">
      <w:pPr>
        <w:rPr>
          <w:color w:val="000000"/>
          <w:sz w:val="21"/>
          <w:szCs w:val="21"/>
        </w:rPr>
      </w:pPr>
      <w:r>
        <w:rPr>
          <w:color w:val="000000"/>
          <w:sz w:val="21"/>
          <w:szCs w:val="21"/>
        </w:rPr>
        <w:t>This remains an "implementation issue to be addressed" and it is formally on the radar nationally.  Pearson and SCALE will be working on it.  Information will be forthcoming.  Thank goodness for WA, TN, and OH for whom this matters this spring, right?  If you have a friend at any of those campuses, call her/him.  If not, make one.</w:t>
      </w:r>
    </w:p>
    <w:p w:rsidR="001D59AA" w:rsidRDefault="001D59AA" w:rsidP="001D59AA">
      <w:pPr>
        <w:rPr>
          <w:color w:val="000000"/>
          <w:sz w:val="21"/>
          <w:szCs w:val="21"/>
        </w:rPr>
      </w:pPr>
    </w:p>
    <w:p w:rsidR="001D59AA" w:rsidRDefault="001D59AA" w:rsidP="001D59AA">
      <w:pPr>
        <w:rPr>
          <w:color w:val="000000"/>
          <w:sz w:val="21"/>
          <w:szCs w:val="21"/>
        </w:rPr>
      </w:pPr>
      <w:r>
        <w:rPr>
          <w:b/>
          <w:bCs/>
          <w:color w:val="000000"/>
          <w:sz w:val="21"/>
          <w:szCs w:val="21"/>
        </w:rPr>
        <w:t>Support for local evaluation</w:t>
      </w:r>
    </w:p>
    <w:p w:rsidR="001D59AA" w:rsidRDefault="001D59AA" w:rsidP="001D59AA">
      <w:pPr>
        <w:rPr>
          <w:color w:val="000000"/>
          <w:sz w:val="21"/>
          <w:szCs w:val="21"/>
        </w:rPr>
      </w:pPr>
      <w:r>
        <w:rPr>
          <w:color w:val="000000"/>
          <w:sz w:val="21"/>
          <w:szCs w:val="21"/>
        </w:rPr>
        <w:lastRenderedPageBreak/>
        <w:t xml:space="preserve">SCALE is actively developing a suite of resources to support </w:t>
      </w:r>
      <w:proofErr w:type="spellStart"/>
      <w:r>
        <w:rPr>
          <w:color w:val="000000"/>
          <w:sz w:val="21"/>
          <w:szCs w:val="21"/>
        </w:rPr>
        <w:t>edTPA</w:t>
      </w:r>
      <w:proofErr w:type="spellEnd"/>
      <w:r>
        <w:rPr>
          <w:color w:val="000000"/>
          <w:sz w:val="21"/>
          <w:szCs w:val="21"/>
        </w:rPr>
        <w:t xml:space="preserve"> implementation.  One will be a deep dive into the new rubrics to provide a foundation for local evaluation.  This will come short of the full process provided by Pearson for official scorer training (so still encourage your folks to sign up to be scorers), but it will take them into the reasoning and kinds of evidence that differentiate between Level 2 and Level 3+ (the likely threshold for passing).</w:t>
      </w:r>
    </w:p>
    <w:p w:rsidR="001D59AA" w:rsidRDefault="001D59AA" w:rsidP="001D59AA">
      <w:pPr>
        <w:rPr>
          <w:color w:val="000000"/>
          <w:sz w:val="21"/>
          <w:szCs w:val="21"/>
        </w:rPr>
      </w:pPr>
    </w:p>
    <w:p w:rsidR="001D59AA" w:rsidRDefault="001D59AA" w:rsidP="001D59AA">
      <w:pPr>
        <w:rPr>
          <w:color w:val="000000"/>
          <w:sz w:val="21"/>
          <w:szCs w:val="21"/>
        </w:rPr>
      </w:pPr>
      <w:r>
        <w:rPr>
          <w:color w:val="000000"/>
          <w:sz w:val="21"/>
          <w:szCs w:val="21"/>
        </w:rPr>
        <w:t>Our next meeting will be on October 5.  I will be in touch with a summary.</w:t>
      </w:r>
    </w:p>
    <w:p w:rsidR="001D59AA" w:rsidRDefault="001D59AA" w:rsidP="001D59AA">
      <w:pPr>
        <w:rPr>
          <w:color w:val="000000"/>
          <w:sz w:val="21"/>
          <w:szCs w:val="21"/>
        </w:rPr>
      </w:pPr>
    </w:p>
    <w:p w:rsidR="001D59AA" w:rsidRDefault="001D59AA" w:rsidP="001D59AA">
      <w:pPr>
        <w:rPr>
          <w:color w:val="000000"/>
          <w:sz w:val="21"/>
          <w:szCs w:val="21"/>
        </w:rPr>
      </w:pPr>
      <w:r>
        <w:rPr>
          <w:color w:val="000000"/>
          <w:sz w:val="21"/>
          <w:szCs w:val="21"/>
        </w:rPr>
        <w:t>Take care,</w:t>
      </w:r>
    </w:p>
    <w:p w:rsidR="001D59AA" w:rsidRDefault="001D59AA" w:rsidP="001D59AA">
      <w:pPr>
        <w:rPr>
          <w:color w:val="000000"/>
          <w:sz w:val="21"/>
          <w:szCs w:val="21"/>
        </w:rPr>
      </w:pPr>
      <w:r>
        <w:rPr>
          <w:color w:val="000000"/>
          <w:sz w:val="21"/>
          <w:szCs w:val="21"/>
        </w:rPr>
        <w:t>Amee</w:t>
      </w:r>
    </w:p>
    <w:p w:rsidR="001D59AA" w:rsidRDefault="001D59AA" w:rsidP="001D59AA">
      <w:pPr>
        <w:rPr>
          <w:color w:val="000000"/>
          <w:sz w:val="21"/>
          <w:szCs w:val="21"/>
        </w:rPr>
      </w:pPr>
    </w:p>
    <w:p w:rsidR="001D59AA" w:rsidRDefault="001D59AA" w:rsidP="001D59AA">
      <w:pPr>
        <w:rPr>
          <w:color w:val="000000"/>
          <w:sz w:val="21"/>
          <w:szCs w:val="21"/>
        </w:rPr>
      </w:pPr>
      <w:r>
        <w:rPr>
          <w:color w:val="000000"/>
          <w:sz w:val="21"/>
          <w:szCs w:val="21"/>
        </w:rPr>
        <w:t>-- </w:t>
      </w:r>
    </w:p>
    <w:p w:rsidR="001D59AA" w:rsidRDefault="001D59AA" w:rsidP="001D59AA">
      <w:pPr>
        <w:rPr>
          <w:color w:val="000000"/>
          <w:sz w:val="27"/>
          <w:szCs w:val="27"/>
        </w:rPr>
      </w:pPr>
      <w:r>
        <w:rPr>
          <w:color w:val="000000"/>
          <w:sz w:val="27"/>
          <w:szCs w:val="27"/>
        </w:rPr>
        <w:t>Amee Adkins</w:t>
      </w:r>
    </w:p>
    <w:p w:rsidR="001D59AA" w:rsidRDefault="001D59AA" w:rsidP="001D59AA">
      <w:pPr>
        <w:rPr>
          <w:color w:val="000000"/>
          <w:sz w:val="27"/>
          <w:szCs w:val="27"/>
        </w:rPr>
      </w:pPr>
      <w:r>
        <w:rPr>
          <w:color w:val="000000"/>
          <w:sz w:val="27"/>
          <w:szCs w:val="27"/>
        </w:rPr>
        <w:t>Associate Dean</w:t>
      </w:r>
    </w:p>
    <w:p w:rsidR="001D59AA" w:rsidRDefault="001D59AA" w:rsidP="001D59AA">
      <w:pPr>
        <w:rPr>
          <w:color w:val="000000"/>
          <w:sz w:val="27"/>
          <w:szCs w:val="27"/>
        </w:rPr>
      </w:pPr>
      <w:r>
        <w:rPr>
          <w:color w:val="000000"/>
          <w:sz w:val="27"/>
          <w:szCs w:val="27"/>
        </w:rPr>
        <w:t>College of Education, Illinois State University</w:t>
      </w:r>
    </w:p>
    <w:p w:rsidR="001D59AA" w:rsidRDefault="001D59AA" w:rsidP="001D59AA">
      <w:pPr>
        <w:rPr>
          <w:color w:val="000000"/>
          <w:sz w:val="27"/>
          <w:szCs w:val="27"/>
        </w:rPr>
      </w:pPr>
      <w:hyperlink r:id="rId6" w:history="1">
        <w:r>
          <w:rPr>
            <w:rStyle w:val="Hyperlink"/>
            <w:sz w:val="27"/>
            <w:szCs w:val="27"/>
          </w:rPr>
          <w:t>adadkin@ilstu.edu</w:t>
        </w:r>
      </w:hyperlink>
    </w:p>
    <w:p w:rsidR="001D59AA" w:rsidRDefault="001D59AA" w:rsidP="001D59AA">
      <w:pPr>
        <w:rPr>
          <w:color w:val="000000"/>
          <w:sz w:val="27"/>
          <w:szCs w:val="27"/>
        </w:rPr>
      </w:pPr>
      <w:r>
        <w:rPr>
          <w:color w:val="000000"/>
          <w:sz w:val="27"/>
          <w:szCs w:val="27"/>
        </w:rPr>
        <w:t>309.438.5189 (v); 309.438.3813 (f)</w:t>
      </w:r>
    </w:p>
    <w:p w:rsidR="008E34EB" w:rsidRPr="001D59AA" w:rsidRDefault="001D59AA" w:rsidP="001D59AA">
      <w:pPr>
        <w:rPr>
          <w:color w:val="000000"/>
          <w:sz w:val="27"/>
          <w:szCs w:val="27"/>
        </w:rPr>
      </w:pPr>
      <w:hyperlink r:id="rId7" w:history="1">
        <w:r>
          <w:rPr>
            <w:rStyle w:val="Hyperlink"/>
            <w:sz w:val="27"/>
            <w:szCs w:val="27"/>
          </w:rPr>
          <w:t>www.coe.ilstu.edu</w:t>
        </w:r>
      </w:hyperlink>
      <w:bookmarkStart w:id="0" w:name="_GoBack"/>
      <w:bookmarkEnd w:id="0"/>
    </w:p>
    <w:sectPr w:rsidR="008E34EB" w:rsidRPr="001D5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75CF"/>
    <w:multiLevelType w:val="hybridMultilevel"/>
    <w:tmpl w:val="DB283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F964E1"/>
    <w:multiLevelType w:val="multilevel"/>
    <w:tmpl w:val="A4524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A7"/>
    <w:rsid w:val="00115336"/>
    <w:rsid w:val="001D59AA"/>
    <w:rsid w:val="00203678"/>
    <w:rsid w:val="003E2B7E"/>
    <w:rsid w:val="008E34EB"/>
    <w:rsid w:val="00A05CA7"/>
    <w:rsid w:val="00DB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A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CA7"/>
    <w:rPr>
      <w:color w:val="0000FF"/>
      <w:u w:val="single"/>
    </w:rPr>
  </w:style>
  <w:style w:type="paragraph" w:styleId="ListParagraph">
    <w:name w:val="List Paragraph"/>
    <w:basedOn w:val="Normal"/>
    <w:uiPriority w:val="34"/>
    <w:qFormat/>
    <w:rsid w:val="00A05CA7"/>
    <w:pPr>
      <w:ind w:left="720"/>
    </w:pPr>
  </w:style>
  <w:style w:type="character" w:customStyle="1" w:styleId="apple-style-span">
    <w:name w:val="apple-style-span"/>
    <w:basedOn w:val="DefaultParagraphFont"/>
    <w:rsid w:val="00A05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A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CA7"/>
    <w:rPr>
      <w:color w:val="0000FF"/>
      <w:u w:val="single"/>
    </w:rPr>
  </w:style>
  <w:style w:type="paragraph" w:styleId="ListParagraph">
    <w:name w:val="List Paragraph"/>
    <w:basedOn w:val="Normal"/>
    <w:uiPriority w:val="34"/>
    <w:qFormat/>
    <w:rsid w:val="00A05CA7"/>
    <w:pPr>
      <w:ind w:left="720"/>
    </w:pPr>
  </w:style>
  <w:style w:type="character" w:customStyle="1" w:styleId="apple-style-span">
    <w:name w:val="apple-style-span"/>
    <w:basedOn w:val="DefaultParagraphFont"/>
    <w:rsid w:val="00A0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42945">
      <w:bodyDiv w:val="1"/>
      <w:marLeft w:val="0"/>
      <w:marRight w:val="0"/>
      <w:marTop w:val="0"/>
      <w:marBottom w:val="0"/>
      <w:divBdr>
        <w:top w:val="none" w:sz="0" w:space="0" w:color="auto"/>
        <w:left w:val="none" w:sz="0" w:space="0" w:color="auto"/>
        <w:bottom w:val="none" w:sz="0" w:space="0" w:color="auto"/>
        <w:right w:val="none" w:sz="0" w:space="0" w:color="auto"/>
      </w:divBdr>
    </w:div>
    <w:div w:id="771441424">
      <w:bodyDiv w:val="1"/>
      <w:marLeft w:val="0"/>
      <w:marRight w:val="0"/>
      <w:marTop w:val="0"/>
      <w:marBottom w:val="0"/>
      <w:divBdr>
        <w:top w:val="none" w:sz="0" w:space="0" w:color="auto"/>
        <w:left w:val="none" w:sz="0" w:space="0" w:color="auto"/>
        <w:bottom w:val="none" w:sz="0" w:space="0" w:color="auto"/>
        <w:right w:val="none" w:sz="0" w:space="0" w:color="auto"/>
      </w:divBdr>
    </w:div>
    <w:div w:id="774641885">
      <w:bodyDiv w:val="1"/>
      <w:marLeft w:val="0"/>
      <w:marRight w:val="0"/>
      <w:marTop w:val="0"/>
      <w:marBottom w:val="0"/>
      <w:divBdr>
        <w:top w:val="none" w:sz="0" w:space="0" w:color="auto"/>
        <w:left w:val="none" w:sz="0" w:space="0" w:color="auto"/>
        <w:bottom w:val="none" w:sz="0" w:space="0" w:color="auto"/>
        <w:right w:val="none" w:sz="0" w:space="0" w:color="auto"/>
      </w:divBdr>
    </w:div>
    <w:div w:id="1687751834">
      <w:bodyDiv w:val="1"/>
      <w:marLeft w:val="0"/>
      <w:marRight w:val="0"/>
      <w:marTop w:val="0"/>
      <w:marBottom w:val="0"/>
      <w:divBdr>
        <w:top w:val="none" w:sz="0" w:space="0" w:color="auto"/>
        <w:left w:val="none" w:sz="0" w:space="0" w:color="auto"/>
        <w:bottom w:val="none" w:sz="0" w:space="0" w:color="auto"/>
        <w:right w:val="none" w:sz="0" w:space="0" w:color="auto"/>
      </w:divBdr>
    </w:div>
    <w:div w:id="1713454122">
      <w:bodyDiv w:val="1"/>
      <w:marLeft w:val="0"/>
      <w:marRight w:val="0"/>
      <w:marTop w:val="0"/>
      <w:marBottom w:val="0"/>
      <w:divBdr>
        <w:top w:val="none" w:sz="0" w:space="0" w:color="auto"/>
        <w:left w:val="none" w:sz="0" w:space="0" w:color="auto"/>
        <w:bottom w:val="none" w:sz="0" w:space="0" w:color="auto"/>
        <w:right w:val="none" w:sz="0" w:space="0" w:color="auto"/>
      </w:divBdr>
    </w:div>
    <w:div w:id="20977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e.ils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dkin@ilst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2015-09-14T15:12:00Z</dcterms:created>
  <dcterms:modified xsi:type="dcterms:W3CDTF">2015-09-14T15:12:00Z</dcterms:modified>
</cp:coreProperties>
</file>